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1C" w:rsidRPr="00DC2A1C" w:rsidRDefault="002A1CEB" w:rsidP="002A1C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LUTHIONE</w:t>
      </w:r>
      <w:r w:rsidRPr="002A1CE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600 reduced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DC2A1C" w:rsidRPr="00DC2A1C">
        <w:rPr>
          <w:rFonts w:ascii="Times New Roman" w:eastAsia="Times New Roman" w:hAnsi="Times New Roman" w:cs="Times New Roman"/>
          <w:sz w:val="24"/>
          <w:szCs w:val="24"/>
        </w:rPr>
        <w:t>Luccion</w:t>
      </w:r>
      <w:proofErr w:type="spellEnd"/>
      <w:r w:rsidR="00DC2A1C" w:rsidRPr="00DC2A1C">
        <w:rPr>
          <w:rFonts w:ascii="Times New Roman" w:eastAsia="Times New Roman" w:hAnsi="Times New Roman" w:cs="Times New Roman"/>
          <w:sz w:val="24"/>
          <w:szCs w:val="24"/>
        </w:rPr>
        <w:t xml:space="preserve"> Province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Glutathion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(reduced type))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LUTHIONE (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Inj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Raw ingredients and quantity: 1 vial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O active ingredient: glutathione (reduced type) (KP)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·Cleaning agent (stabilizer): sodium hydrocarbon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Characteristics: Colorless, transparent vial injections filled with white to milky porous freeze-dried contents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Efficacy and effectiveness: Prevention of neurological diseases by 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cisplatin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or similar chemotherapy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usage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and capacity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In severe cases, 600-1200 mg per day is injected intramuscularly or intravenously.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If treated for several days or in wonder, 300-600 mg per day is injected intramuscularly or static vein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I'm going to inject it.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Guidelines for Use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adverse reaction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1) Anaphylactic symptoms: In rare cases, anaphylactic symptoms may appear, so make sure to observe them sufficiently,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If facial whitening, blood pressure drop, or pulse abnormalities appear, administration should be stopped.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2) Hypersensitivity: In rare cases of rash, etc., discontinue administration.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3) Digestive system: Rarely, loss of appetite, nausea, vomiting, and stomach pain can occur.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precautions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1) Preparation: Vial preparations are used immediately after dissolution.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2) In the case of intramuscular injection, carefully administer to avoid nerves and blood vessels. Also, the need for repeated administration is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If present, avoid the same area, such as switching left and right and injecting, and pay special attention to infants and children.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3. Storage and handling precautions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1) Store out of reach of children.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2) Taking medicine out of the original container and storing it in another container is an accident caused by misuse of medicine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Since it may cause quality deterioration, put it in the original container and keep it tightly closed.</w:t>
      </w:r>
      <w:proofErr w:type="gramEnd"/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Packaging unit: 10 vials / box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Storage method: Sealed container, room temperature (1-30C) storage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Manufacturer and seller: 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Daehan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New Farm Co., Ltd</w:t>
      </w: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66 Pharmaceutical Corporation 1-gil, 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Hyangnam-eup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Hwaseong-si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2A1C">
        <w:rPr>
          <w:rFonts w:ascii="Times New Roman" w:eastAsia="Times New Roman" w:hAnsi="Times New Roman" w:cs="Times New Roman"/>
          <w:sz w:val="24"/>
          <w:szCs w:val="24"/>
        </w:rPr>
        <w:t>Gyeonggi</w:t>
      </w:r>
      <w:proofErr w:type="spellEnd"/>
      <w:r w:rsidRPr="00DC2A1C">
        <w:rPr>
          <w:rFonts w:ascii="Times New Roman" w:eastAsia="Times New Roman" w:hAnsi="Times New Roman" w:cs="Times New Roman"/>
          <w:sz w:val="24"/>
          <w:szCs w:val="24"/>
        </w:rPr>
        <w:t>-do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over-the-counter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medicine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Classification number: 03990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600mg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DC2A1C">
        <w:rPr>
          <w:rFonts w:ascii="Times New Roman" w:eastAsia="Times New Roman" w:hAnsi="Times New Roman" w:cs="Times New Roman"/>
          <w:sz w:val="24"/>
          <w:szCs w:val="24"/>
        </w:rPr>
        <w:t xml:space="preserve"> appropriate amount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※The medicine should be kept out of reach of children.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※This product requires strict quality control.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lastRenderedPageBreak/>
        <w:t>If the product is found to have expired or to have been altered, altered, or damaged at the time of purchase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In this case, we exchange it through the pharmacy, hospital, and wholesaler you purchased. For more information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Please contact our academic development team. (Tel: 031-778-2600)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*For detailed product approval or report, please visit the Pharmaceutical Wind Safety Country (</w:t>
      </w:r>
      <w:proofErr w:type="gramStart"/>
      <w:r w:rsidRPr="00DC2A1C">
        <w:rPr>
          <w:rFonts w:ascii="Times New Roman" w:eastAsia="Times New Roman" w:hAnsi="Times New Roman" w:cs="Times New Roman"/>
          <w:sz w:val="24"/>
          <w:szCs w:val="24"/>
        </w:rPr>
        <w:t>go.kr )</w:t>
      </w:r>
      <w:proofErr w:type="gramEnd"/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Please check it through.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※In the event of adverse drug side effects, you can apply for damage relief to the Korea Drug Safety Management Committee.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Date of revision: 2023.07.20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[Manufacturing and salesperson]</w:t>
      </w:r>
    </w:p>
    <w:p w:rsidR="00DC2A1C" w:rsidRPr="00DC2A1C" w:rsidRDefault="00DC2A1C" w:rsidP="00DC2A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2A1C">
        <w:rPr>
          <w:rFonts w:ascii="Times New Roman" w:eastAsia="Times New Roman" w:hAnsi="Times New Roman" w:cs="Times New Roman"/>
          <w:sz w:val="24"/>
          <w:szCs w:val="24"/>
        </w:rPr>
        <w:t>Korea New Farm</w:t>
      </w:r>
    </w:p>
    <w:p w:rsidR="00BB108A" w:rsidRDefault="00DC2A1C" w:rsidP="00DC2A1C">
      <w:r w:rsidRPr="00DC2A1C">
        <w:rPr>
          <w:rFonts w:ascii="Times New Roman" w:eastAsia="Times New Roman" w:hAnsi="Times New Roman" w:cs="Times New Roman"/>
          <w:sz w:val="24"/>
          <w:szCs w:val="24"/>
        </w:rPr>
        <w:t>3276800-00</w:t>
      </w:r>
    </w:p>
    <w:sectPr w:rsidR="00BB108A" w:rsidSect="00BB10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A1C"/>
    <w:rsid w:val="002A1CEB"/>
    <w:rsid w:val="00BB108A"/>
    <w:rsid w:val="00DC2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2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2</cp:revision>
  <dcterms:created xsi:type="dcterms:W3CDTF">2024-05-15T12:14:00Z</dcterms:created>
  <dcterms:modified xsi:type="dcterms:W3CDTF">2024-05-15T12:16:00Z</dcterms:modified>
</cp:coreProperties>
</file>